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OPIS PRZEDMIOTU ZAMÓWIENIA /FORMULARZ OFERTOWY</w:t>
      </w:r>
    </w:p>
    <w:p>
      <w:pPr>
        <w:pStyle w:val="Normal"/>
        <w:spacing w:lineRule="auto" w:line="240" w:before="0" w:after="0"/>
        <w:jc w:val="both"/>
        <w:rPr>
          <w:rFonts w:eastAsia="Calibri" w:cs="Calibri" w:cstheme="minorHAnsi"/>
          <w:b/>
          <w:sz w:val="24"/>
          <w:szCs w:val="24"/>
          <w:u w:val="single"/>
        </w:rPr>
      </w:pPr>
      <w:r>
        <w:rPr>
          <w:rFonts w:eastAsia="Calibri" w:cs="Calibri" w:cstheme="minorHAnsi"/>
          <w:b/>
          <w:sz w:val="24"/>
          <w:szCs w:val="24"/>
          <w:u w:val="single"/>
        </w:rPr>
      </w:r>
      <w:bookmarkStart w:id="0" w:name="_GoBack"/>
      <w:bookmarkStart w:id="1" w:name="_GoBack"/>
      <w:bookmarkEnd w:id="1"/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077"/>
        <w:gridCol w:w="4712"/>
        <w:gridCol w:w="1638"/>
        <w:gridCol w:w="1644"/>
      </w:tblGrid>
      <w:tr>
        <w:trPr/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Calibri" w:cstheme="minorHAnsi"/>
                <w:b/>
                <w:sz w:val="20"/>
                <w:szCs w:val="20"/>
              </w:rPr>
            </w:pPr>
            <w:r>
              <w:rPr>
                <w:rFonts w:cs="Calibr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Calibri" w:cstheme="minorHAnsi"/>
                <w:b/>
                <w:sz w:val="20"/>
                <w:szCs w:val="20"/>
              </w:rPr>
            </w:pPr>
            <w:r>
              <w:rPr>
                <w:rFonts w:cs="Calibri" w:cstheme="minorHAnsi"/>
                <w:b/>
                <w:sz w:val="20"/>
                <w:szCs w:val="20"/>
              </w:rPr>
              <w:t>Zadanie do zrealizowania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Calibri" w:cstheme="minorHAnsi"/>
                <w:b/>
                <w:sz w:val="20"/>
                <w:szCs w:val="20"/>
              </w:rPr>
            </w:pPr>
            <w:r>
              <w:rPr>
                <w:rFonts w:cs="Calibri" w:cstheme="minorHAnsi"/>
                <w:b/>
                <w:sz w:val="20"/>
                <w:szCs w:val="20"/>
              </w:rPr>
              <w:t>Cena jednostkowa zł brutto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Calibri" w:cstheme="minorHAnsi"/>
                <w:b/>
                <w:sz w:val="20"/>
                <w:szCs w:val="20"/>
              </w:rPr>
            </w:pPr>
            <w:r>
              <w:rPr>
                <w:rFonts w:cs="Calibri" w:cstheme="minorHAnsi"/>
                <w:b/>
                <w:sz w:val="20"/>
                <w:szCs w:val="20"/>
              </w:rPr>
              <w:t xml:space="preserve">Wartość całkowita </w:t>
              <w:br/>
              <w:t>zł brutto</w:t>
            </w:r>
          </w:p>
        </w:tc>
      </w:tr>
      <w:tr>
        <w:trPr/>
        <w:tc>
          <w:tcPr>
            <w:tcW w:w="107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/>
            </w:pPr>
            <w:r>
              <w:rPr>
                <w:rFonts w:eastAsia="Calibri" w:cs="Calibri"/>
                <w:sz w:val="24"/>
                <w:szCs w:val="24"/>
              </w:rPr>
              <w:t>1.</w:t>
            </w:r>
          </w:p>
        </w:tc>
        <w:tc>
          <w:tcPr>
            <w:tcW w:w="471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spacing w:before="0" w:after="200"/>
              <w:rPr>
                <w:rFonts w:eastAsia="Calibri" w:cs="Calibri"/>
                <w:sz w:val="24"/>
                <w:szCs w:val="24"/>
              </w:rPr>
            </w:pPr>
            <w:r>
              <w:rPr>
                <w:rFonts w:eastAsia="Calibri" w:cs="Calibri"/>
                <w:sz w:val="24"/>
                <w:szCs w:val="24"/>
              </w:rPr>
              <w:t>Teren Zespołu Elektrociepłowni Wrocławskich KOGENERACJA S.A., ul. Łowiecka 24, Wrocław System antenowy strefy trakingowej EDACS wraz z dodatkowym osprzętem (zakres prac zgodnie z wytycznymi OPZ)</w:t>
            </w: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rFonts w:eastAsia="Calibri" w:cs="Calibri"/>
                <w:i/>
                <w:i/>
                <w:color w:val="FF0000"/>
                <w:sz w:val="24"/>
                <w:szCs w:val="24"/>
              </w:rPr>
            </w:pPr>
            <w:r>
              <w:rPr>
                <w:rFonts w:eastAsia="Calibri" w:cs="Calibri"/>
                <w:i/>
                <w:color w:val="FF0000"/>
                <w:sz w:val="24"/>
                <w:szCs w:val="24"/>
              </w:rPr>
              <w:t>Do uzupełnienia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user"/>
              <w:spacing w:before="0" w:after="200"/>
              <w:jc w:val="center"/>
              <w:rPr>
                <w:rFonts w:eastAsia="Calibri" w:cs="Calibri"/>
                <w:i/>
                <w:i/>
                <w:color w:val="FF0000"/>
                <w:sz w:val="24"/>
                <w:szCs w:val="24"/>
              </w:rPr>
            </w:pPr>
            <w:r>
              <w:rPr>
                <w:rFonts w:eastAsia="Calibri" w:cs="Calibri"/>
                <w:i/>
                <w:color w:val="FF0000"/>
                <w:sz w:val="24"/>
                <w:szCs w:val="24"/>
              </w:rPr>
              <w:t>Do uzupełnienia</w:t>
            </w:r>
          </w:p>
        </w:tc>
      </w:tr>
      <w:tr>
        <w:trPr/>
        <w:tc>
          <w:tcPr>
            <w:tcW w:w="7427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eastAsia="Calibri" w:cs="Calibri" w:cstheme="minorHAnsi"/>
                <w:color w:val="FF0000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  <w:t xml:space="preserve">                                                                                                                                  </w:t>
            </w:r>
            <w:r>
              <w:rPr>
                <w:rFonts w:cs="Calibri" w:cstheme="minorHAnsi"/>
                <w:sz w:val="20"/>
                <w:szCs w:val="20"/>
              </w:rPr>
              <w:t>Łącznie</w:t>
            </w: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spacing w:before="0" w:after="200"/>
              <w:jc w:val="center"/>
              <w:rPr>
                <w:rFonts w:eastAsia="Calibri" w:cs="Calibri"/>
                <w:i/>
                <w:i/>
                <w:color w:val="FF0000"/>
                <w:sz w:val="24"/>
                <w:szCs w:val="24"/>
              </w:rPr>
            </w:pPr>
            <w:r>
              <w:rPr>
                <w:rFonts w:eastAsia="Calibri" w:cs="Calibri"/>
                <w:i/>
                <w:color w:val="FF0000"/>
                <w:sz w:val="24"/>
                <w:szCs w:val="24"/>
              </w:rPr>
              <w:t>Do uzupełnienia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eastAsia="Calibri" w:cs="Calibri" w:cstheme="minorHAnsi"/>
          <w:b/>
          <w:sz w:val="24"/>
          <w:szCs w:val="24"/>
          <w:u w:val="single"/>
        </w:rPr>
      </w:pPr>
      <w:r>
        <w:rPr>
          <w:rFonts w:eastAsia="Calibri" w:cs="Calibri" w:cstheme="minorHAnsi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both"/>
        <w:rPr>
          <w:rFonts w:eastAsia="Calibri" w:cs="Calibri" w:cstheme="minorHAnsi"/>
          <w:b/>
          <w:sz w:val="24"/>
          <w:szCs w:val="24"/>
          <w:u w:val="single"/>
        </w:rPr>
      </w:pPr>
      <w:r>
        <w:rPr>
          <w:rFonts w:eastAsia="Calibri" w:cs="Calibri" w:cstheme="minorHAnsi"/>
          <w:b/>
          <w:sz w:val="24"/>
          <w:szCs w:val="24"/>
          <w:u w:val="single"/>
        </w:rPr>
      </w:r>
    </w:p>
    <w:p>
      <w:pPr>
        <w:pStyle w:val="Normal"/>
        <w:jc w:val="both"/>
        <w:rPr>
          <w:rFonts w:cs="Calibri" w:cstheme="minorHAnsi"/>
          <w:b/>
          <w:sz w:val="24"/>
          <w:szCs w:val="24"/>
        </w:rPr>
      </w:pPr>
      <w:r>
        <w:rPr>
          <w:rFonts w:cs="Calibri" w:cstheme="minorHAnsi"/>
          <w:b/>
          <w:sz w:val="24"/>
          <w:szCs w:val="24"/>
        </w:rPr>
        <w:t>Opis przedmiotu zamówienia.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Przedmiotem zamówienia jest całkowity demontaż systemu antenowego strefy trankingowej EDACS Komendy Wojewódzkiej Policji we Wrocławiu wraz</w:t>
        <w:br/>
        <w:t xml:space="preserve">z dodatkowym osprzętem, znajdującego się na kominie H=180m, na terenie Zespołu Elektrociepłowni Wrocławskich KOGENERACJA S.A. 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Przedmiot zamówienia obejmuje w szczególności:</w:t>
      </w:r>
    </w:p>
    <w:p>
      <w:pPr>
        <w:pStyle w:val="ListParagraph"/>
        <w:numPr>
          <w:ilvl w:val="0"/>
          <w:numId w:val="2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Demontaż systemu antenowego strefy trankingowej EDACS składającego się z:</w:t>
      </w:r>
    </w:p>
    <w:p>
      <w:pPr>
        <w:pStyle w:val="ListParagraph"/>
        <w:numPr>
          <w:ilvl w:val="0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Nadajnik radiowy (0m. n.p.t.).</w:t>
      </w:r>
    </w:p>
    <w:p>
      <w:pPr>
        <w:pStyle w:val="ListParagraph"/>
        <w:numPr>
          <w:ilvl w:val="1"/>
          <w:numId w:val="9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Kontroler strefy z pełnym wyposażeniem,</w:t>
      </w:r>
    </w:p>
    <w:p>
      <w:pPr>
        <w:pStyle w:val="ListParagraph"/>
        <w:numPr>
          <w:ilvl w:val="1"/>
          <w:numId w:val="9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Moduł podwójny do transmisji 2xRS 232 DNEC 2601,</w:t>
      </w:r>
    </w:p>
    <w:p>
      <w:pPr>
        <w:pStyle w:val="ListParagraph"/>
        <w:numPr>
          <w:ilvl w:val="1"/>
          <w:numId w:val="9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Urządzenie stacjonarne strefy EDACS,</w:t>
      </w:r>
    </w:p>
    <w:p>
      <w:pPr>
        <w:pStyle w:val="ListParagraph"/>
        <w:numPr>
          <w:ilvl w:val="0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System anten (na szczycie komina).</w:t>
      </w:r>
    </w:p>
    <w:p>
      <w:pPr>
        <w:pStyle w:val="ListParagraph"/>
        <w:ind w:left="180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 x anteny nadawcze,</w:t>
      </w:r>
    </w:p>
    <w:p>
      <w:pPr>
        <w:pStyle w:val="ListParagraph"/>
        <w:ind w:left="180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 x anteny odbiorcze,</w:t>
      </w:r>
    </w:p>
    <w:p>
      <w:pPr>
        <w:pStyle w:val="ListParagraph"/>
        <w:numPr>
          <w:ilvl w:val="0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Instalacja antenowa (galeria 4 H=180m. n.p.t. i na szczycie komina).</w:t>
      </w:r>
    </w:p>
    <w:p>
      <w:pPr>
        <w:pStyle w:val="ListParagraph"/>
        <w:numPr>
          <w:ilvl w:val="1"/>
          <w:numId w:val="7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Dzielnik nadawczy,</w:t>
      </w:r>
    </w:p>
    <w:p>
      <w:pPr>
        <w:pStyle w:val="ListParagraph"/>
        <w:numPr>
          <w:ilvl w:val="1"/>
          <w:numId w:val="7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Dzielnik odbiorczy,</w:t>
      </w:r>
    </w:p>
    <w:p>
      <w:pPr>
        <w:pStyle w:val="ListParagraph"/>
        <w:numPr>
          <w:ilvl w:val="1"/>
          <w:numId w:val="7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Szafa wzmacniacza Top Tower,</w:t>
      </w:r>
    </w:p>
    <w:p>
      <w:pPr>
        <w:pStyle w:val="ListParagraph"/>
        <w:numPr>
          <w:ilvl w:val="2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Ochronnik,</w:t>
      </w:r>
    </w:p>
    <w:p>
      <w:pPr>
        <w:pStyle w:val="ListParagraph"/>
        <w:numPr>
          <w:ilvl w:val="2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Przełącznik,</w:t>
      </w:r>
    </w:p>
    <w:p>
      <w:pPr>
        <w:pStyle w:val="ListParagraph"/>
        <w:numPr>
          <w:ilvl w:val="2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Wzmacniacz końcowy mocy,</w:t>
      </w:r>
    </w:p>
    <w:p>
      <w:pPr>
        <w:pStyle w:val="ListParagraph"/>
        <w:numPr>
          <w:ilvl w:val="2"/>
          <w:numId w:val="3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Filtr,</w:t>
      </w:r>
    </w:p>
    <w:p>
      <w:pPr>
        <w:pStyle w:val="ListParagraph"/>
        <w:numPr>
          <w:ilvl w:val="1"/>
          <w:numId w:val="8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8 x fidery  LDF4-50 łączące anteny z dzielnikami,</w:t>
      </w:r>
    </w:p>
    <w:p>
      <w:pPr>
        <w:pStyle w:val="ListParagraph"/>
        <w:numPr>
          <w:ilvl w:val="1"/>
          <w:numId w:val="8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 x fider LDF4-50 łączący dzielnik odbiorczy z Szafą wzmacniacza Top Tower,</w:t>
      </w:r>
    </w:p>
    <w:p>
      <w:pPr>
        <w:pStyle w:val="ListParagraph"/>
        <w:numPr>
          <w:ilvl w:val="1"/>
          <w:numId w:val="8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 x fider LDF4-50 łączący Szafę wzmacniacza Top Tower</w:t>
        <w:br/>
        <w:t>z ogranicznikiem przepieć,</w:t>
      </w:r>
    </w:p>
    <w:p>
      <w:pPr>
        <w:pStyle w:val="ListParagraph"/>
        <w:numPr>
          <w:ilvl w:val="1"/>
          <w:numId w:val="8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1 x fider LDF4-50 łączący dzielnik nadawczy z ogranicznikiem przepięć,</w:t>
      </w:r>
    </w:p>
    <w:p>
      <w:pPr>
        <w:pStyle w:val="ListParagraph"/>
        <w:numPr>
          <w:ilvl w:val="1"/>
          <w:numId w:val="8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2 x fider LDF5-50 łączący ograniczniki przepięć na wysokości 180m. n.p.t. z instalacją na poziomie 0m. n.p.t.</w:t>
      </w:r>
    </w:p>
    <w:p>
      <w:pPr>
        <w:pStyle w:val="ListParagraph"/>
        <w:numPr>
          <w:ilvl w:val="0"/>
          <w:numId w:val="2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Demontaż radiolinii (pod 4 galerią H=180m. n.p.t.).</w:t>
      </w:r>
    </w:p>
    <w:p>
      <w:pPr>
        <w:pStyle w:val="ListParagraph"/>
        <w:numPr>
          <w:ilvl w:val="0"/>
          <w:numId w:val="4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Antena LR 0,6m. wraz z fiderem znajdująca się na kominie.</w:t>
      </w:r>
    </w:p>
    <w:p>
      <w:pPr>
        <w:pStyle w:val="ListParagraph"/>
        <w:numPr>
          <w:ilvl w:val="0"/>
          <w:numId w:val="4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Antena LR 0,6m. wraz z fiderem znajdująca się na maszcie, na budynku KWP we Wrocławiu</w:t>
      </w:r>
    </w:p>
    <w:p>
      <w:pPr>
        <w:pStyle w:val="ListParagraph"/>
        <w:numPr>
          <w:ilvl w:val="0"/>
          <w:numId w:val="2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Demontaż uziemienia instalacji odgromowej od pręta odgromowego komina.</w:t>
      </w:r>
    </w:p>
    <w:p>
      <w:pPr>
        <w:pStyle w:val="ListParagraph"/>
        <w:numPr>
          <w:ilvl w:val="0"/>
          <w:numId w:val="2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Demontaż dodatkowego osprzętu</w:t>
      </w:r>
    </w:p>
    <w:p>
      <w:pPr>
        <w:pStyle w:val="ListParagraph"/>
        <w:numPr>
          <w:ilvl w:val="0"/>
          <w:numId w:val="5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Agregat:</w:t>
      </w:r>
    </w:p>
    <w:p>
      <w:pPr>
        <w:pStyle w:val="ListParagraph"/>
        <w:numPr>
          <w:ilvl w:val="1"/>
          <w:numId w:val="6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Silnik S4S-Z263SD</w:t>
      </w:r>
    </w:p>
    <w:p>
      <w:pPr>
        <w:pStyle w:val="ListParagraph"/>
        <w:numPr>
          <w:ilvl w:val="1"/>
          <w:numId w:val="6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Prądnica ECO 32-3S/4</w:t>
      </w:r>
    </w:p>
    <w:p>
      <w:pPr>
        <w:pStyle w:val="ListParagraph"/>
        <w:numPr>
          <w:ilvl w:val="1"/>
          <w:numId w:val="6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Pulpit sterujący DSE 732D</w:t>
      </w:r>
    </w:p>
    <w:p>
      <w:pPr>
        <w:pStyle w:val="ListParagraph"/>
        <w:numPr>
          <w:ilvl w:val="1"/>
          <w:numId w:val="6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Akumulator 12V</w:t>
      </w:r>
    </w:p>
    <w:p>
      <w:pPr>
        <w:pStyle w:val="ListParagraph"/>
        <w:numPr>
          <w:ilvl w:val="0"/>
          <w:numId w:val="5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Klimatyzacja,</w:t>
      </w:r>
    </w:p>
    <w:p>
      <w:pPr>
        <w:pStyle w:val="ListParagraph"/>
        <w:numPr>
          <w:ilvl w:val="0"/>
          <w:numId w:val="5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 x szafy z pomieszczeń technicznych.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Wszelkie otwory techniczne po zdemontowanym sprzęcie służące np. do odprowadzenia spalin, instalacji klimatyzacji, czy przepust na fidery antenowe, zostaną zasklepione przez Wykonawcę zgodnie ze sztuką budowlana.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Wykonawca we własnym zakresie uzyska wszystkie potrzebne zgody i uprawnienia związane z wejściem i prowadzeniem robót na terenie Zespołu Elektrociepłowni Wrocławskich KOGENERACJA S.A. przy ul. Łowieckiej 24. 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Miejsce prowadzenia robót, zostanie zabezpieczone przez Wykonawcę zgodnie</w:t>
        <w:br/>
        <w:t>z wymaganiami obowiązującymi na terenie elektrociepłowni.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Zamawiający zezwala na pocięcie fiderów celem łatwiejszego ich demontażu.</w:t>
      </w:r>
    </w:p>
    <w:p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Zdemontowany sprzęt zostanie dostarczony w miejsce wskazane przez Zamawiającego na terenie Wrocławia.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Po demontażu systemu, pomieszczenia oraz teren, zostaną uprzątnięte przez Wykonawcę.</w:t>
      </w:r>
    </w:p>
    <w:p>
      <w:pPr>
        <w:pStyle w:val="ListParagraph"/>
        <w:numPr>
          <w:ilvl w:val="0"/>
          <w:numId w:val="1"/>
        </w:numPr>
        <w:jc w:val="both"/>
        <w:rPr>
          <w:rFonts w:cs="Calibri" w:cstheme="minorHAnsi"/>
          <w:sz w:val="24"/>
          <w:szCs w:val="24"/>
        </w:rPr>
      </w:pPr>
      <w:r>
        <w:rPr>
          <w:szCs w:val="24"/>
        </w:rPr>
        <w:t xml:space="preserve">Termin wykonania przedmiotu umowy : max. do dnia </w:t>
      </w:r>
      <w:r>
        <w:rPr>
          <w:b/>
          <w:szCs w:val="24"/>
        </w:rPr>
        <w:t>31.10.2026 r.</w:t>
      </w:r>
    </w:p>
    <w:p>
      <w:pPr>
        <w:pStyle w:val="Normal"/>
        <w:spacing w:before="0" w:after="200"/>
        <w:ind w:left="360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ab/>
      <w:tab/>
      <w:t>Załącznik nr 1  do umowy nr …./TI/2026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ab/>
      <w:tab/>
      <w:t>Załącznik nr 1  do umowy nr …./TI/2026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77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6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054ebc"/>
    <w:rPr/>
  </w:style>
  <w:style w:type="character" w:styleId="StopkaZnak" w:customStyle="1">
    <w:name w:val="Stopka Znak"/>
    <w:basedOn w:val="DefaultParagraphFont"/>
    <w:uiPriority w:val="99"/>
    <w:qFormat/>
    <w:rsid w:val="00054ebc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054eb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32741"/>
    <w:pPr>
      <w:spacing w:before="0" w:after="200"/>
      <w:ind w:left="720"/>
      <w:contextualSpacing/>
    </w:pPr>
    <w:rPr/>
  </w:style>
  <w:style w:type="paragraph" w:styleId="Footer">
    <w:name w:val="footer"/>
    <w:basedOn w:val="Normal"/>
    <w:link w:val="StopkaZnak"/>
    <w:uiPriority w:val="99"/>
    <w:unhideWhenUsed/>
    <w:rsid w:val="00054ebc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numbering" w:styleId="Bezlistyuser" w:customStyle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LibreOffice/25.2.3.2$Windows_X86_64 LibreOffice_project/bbb074479178df812d175f709636b368952c2ce3</Application>
  <AppVersion>15.0000</AppVersion>
  <Pages>2</Pages>
  <Words>439</Words>
  <Characters>2659</Characters>
  <CharactersWithSpaces>3142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2026-04-17T08:17:00Z</dcterms:created>
  <dc:creator>Artur Kowal</dc:creator>
  <dc:description/>
  <dc:language>pl-PL</dc:language>
  <cp:lastModifiedBy>MAŁGORZATA GĄSZCZ</cp:lastModifiedBy>
  <cp:lastPrinted>2026-04-10T15:22:00Z</cp:lastPrinted>
  <dcterms:modified xsi:type="dcterms:W3CDTF">2026-04-22T05:39:00Z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